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370" w:rsidRPr="00BC0370" w:rsidRDefault="00BC0370" w:rsidP="00BC0370">
      <w:pPr>
        <w:shd w:val="clear" w:color="auto" w:fill="FFFFFF"/>
        <w:autoSpaceDE w:val="0"/>
        <w:autoSpaceDN w:val="0"/>
        <w:adjustRightInd w:val="0"/>
        <w:ind w:left="-426" w:right="-426"/>
        <w:jc w:val="left"/>
        <w:rPr>
          <w:sz w:val="28"/>
          <w:szCs w:val="28"/>
        </w:rPr>
      </w:pP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ДЕЯНИЯ 10,11,12</w:t>
      </w:r>
    </w:p>
    <w:p w:rsidR="00BC0370" w:rsidRDefault="00BC0370" w:rsidP="00BC0370">
      <w:pPr>
        <w:shd w:val="clear" w:color="auto" w:fill="FFFFFF"/>
        <w:autoSpaceDE w:val="0"/>
        <w:autoSpaceDN w:val="0"/>
        <w:adjustRightInd w:val="0"/>
        <w:ind w:left="-426" w:right="-426"/>
        <w:jc w:val="left"/>
        <w:rPr>
          <w:rFonts w:eastAsia="Times New Roman"/>
          <w:i/>
          <w:iCs/>
          <w:color w:val="000000"/>
          <w:sz w:val="28"/>
          <w:szCs w:val="28"/>
        </w:rPr>
      </w:pPr>
      <w:r w:rsidRPr="00BC0370">
        <w:rPr>
          <w:rFonts w:eastAsia="Times New Roman"/>
          <w:i/>
          <w:iCs/>
          <w:color w:val="000000"/>
          <w:sz w:val="28"/>
          <w:szCs w:val="28"/>
        </w:rPr>
        <w:t xml:space="preserve">Петър и Корнилий </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i/>
          <w:iCs/>
          <w:color w:val="000000"/>
          <w:sz w:val="28"/>
          <w:szCs w:val="28"/>
        </w:rPr>
        <w:t>Петър в затвора</w:t>
      </w:r>
    </w:p>
    <w:p w:rsidR="00BC0370" w:rsidRPr="00BC0370" w:rsidRDefault="00BC0370" w:rsidP="00BC0370">
      <w:pPr>
        <w:pStyle w:val="Title"/>
        <w:jc w:val="center"/>
        <w:rPr>
          <w:color w:val="000000" w:themeColor="text1"/>
          <w:sz w:val="36"/>
          <w:szCs w:val="36"/>
        </w:rPr>
      </w:pPr>
      <w:r w:rsidRPr="00BC0370">
        <w:rPr>
          <w:b/>
          <w:bCs/>
          <w:color w:val="000000" w:themeColor="text1"/>
          <w:sz w:val="36"/>
          <w:szCs w:val="36"/>
        </w:rPr>
        <w:t>4.</w:t>
      </w:r>
      <w:r w:rsidRPr="00BC0370">
        <w:rPr>
          <w:b/>
          <w:bCs/>
          <w:color w:val="000000" w:themeColor="text1"/>
          <w:sz w:val="36"/>
          <w:szCs w:val="36"/>
          <w:lang w:val="en-US"/>
        </w:rPr>
        <w:t xml:space="preserve"> </w:t>
      </w:r>
      <w:r w:rsidRPr="00BC0370">
        <w:rPr>
          <w:rFonts w:eastAsia="Times New Roman"/>
          <w:color w:val="000000" w:themeColor="text1"/>
          <w:sz w:val="36"/>
          <w:szCs w:val="36"/>
        </w:rPr>
        <w:t>ОТХВЪРЛЯНЕ НА СТАРИТЕ ОГРАНИЧЕНИЯ</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Деяния 10:1-11:18</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color w:val="000000"/>
          <w:sz w:val="28"/>
          <w:szCs w:val="28"/>
        </w:rPr>
        <w:t xml:space="preserve">1. </w:t>
      </w:r>
      <w:r w:rsidRPr="00BC0370">
        <w:rPr>
          <w:rFonts w:eastAsia="Times New Roman"/>
          <w:color w:val="000000"/>
          <w:sz w:val="28"/>
          <w:szCs w:val="28"/>
        </w:rPr>
        <w:t>Какви бяха външните белези на духовния опит на Корнилий?</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color w:val="000000"/>
          <w:sz w:val="28"/>
          <w:szCs w:val="28"/>
        </w:rPr>
        <w:t xml:space="preserve">2. </w:t>
      </w:r>
      <w:r w:rsidRPr="00BC0370">
        <w:rPr>
          <w:rFonts w:eastAsia="Times New Roman"/>
          <w:color w:val="000000"/>
          <w:sz w:val="28"/>
          <w:szCs w:val="28"/>
        </w:rPr>
        <w:t>От знанията ви за юдейските закони за диетата, можете ли да симпатизирате на Петър за дилема</w:t>
      </w:r>
      <w:r w:rsidRPr="00BC0370">
        <w:rPr>
          <w:rFonts w:eastAsia="Times New Roman"/>
          <w:color w:val="000000"/>
          <w:sz w:val="28"/>
          <w:szCs w:val="28"/>
        </w:rPr>
        <w:softHyphen/>
        <w:t>та, представена му във видението? Обърнете внимание на 14-ти стих. 2. Когато Петър разбра значението на видението, той промени:</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а)  становището си по отношение на храната;</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б) отношението си към римските войници;</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в) взаимоотношенията си с езичниците;</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г) евангелизаторската си стратегия;</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д) практиката да си поспива преди обяд.</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color w:val="000000"/>
          <w:sz w:val="28"/>
          <w:szCs w:val="28"/>
        </w:rPr>
        <w:t xml:space="preserve">4.  </w:t>
      </w:r>
      <w:r w:rsidRPr="00BC0370">
        <w:rPr>
          <w:rFonts w:eastAsia="Times New Roman"/>
          <w:color w:val="000000"/>
          <w:sz w:val="28"/>
          <w:szCs w:val="28"/>
        </w:rPr>
        <w:t>На какво служи тук дарбата на езиците? (Срв. 10:44-47 с 11:17.)</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Деяния 11:19-30</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color w:val="000000"/>
          <w:sz w:val="28"/>
          <w:szCs w:val="28"/>
        </w:rPr>
        <w:t xml:space="preserve">5. </w:t>
      </w:r>
      <w:r w:rsidRPr="00BC0370">
        <w:rPr>
          <w:rFonts w:eastAsia="Times New Roman"/>
          <w:color w:val="000000"/>
          <w:sz w:val="28"/>
          <w:szCs w:val="28"/>
        </w:rPr>
        <w:t>Забележете как тази част описва прехода от църква, съставена само от повярвали евреи, в църква със световна мисия. Смятате ли, че някои от еврейските християни са се страхували от този преход? Какво можем да научим от това?</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i/>
          <w:iCs/>
          <w:color w:val="000000"/>
          <w:sz w:val="28"/>
          <w:szCs w:val="28"/>
        </w:rPr>
        <w:t>Центурион</w:t>
      </w:r>
      <w:r w:rsidRPr="00BC0370">
        <w:rPr>
          <w:rFonts w:eastAsia="Times New Roman"/>
          <w:i/>
          <w:iCs/>
          <w:color w:val="000000"/>
          <w:sz w:val="28"/>
          <w:szCs w:val="28"/>
          <w:lang w:val="en-US"/>
        </w:rPr>
        <w:t xml:space="preserve"> </w:t>
      </w:r>
      <w:r w:rsidRPr="00BC0370">
        <w:rPr>
          <w:rFonts w:eastAsia="Times New Roman"/>
          <w:color w:val="000000"/>
          <w:sz w:val="28"/>
          <w:szCs w:val="28"/>
        </w:rPr>
        <w:t>или</w:t>
      </w:r>
      <w:r w:rsidRPr="00BC0370">
        <w:rPr>
          <w:rFonts w:eastAsia="Times New Roman"/>
          <w:i/>
          <w:iCs/>
          <w:color w:val="000000"/>
          <w:sz w:val="28"/>
          <w:szCs w:val="28"/>
        </w:rPr>
        <w:t xml:space="preserve"> „стотник"</w:t>
      </w:r>
      <w:r w:rsidRPr="00BC0370">
        <w:rPr>
          <w:rFonts w:eastAsia="Times New Roman"/>
          <w:color w:val="000000"/>
          <w:sz w:val="28"/>
          <w:szCs w:val="28"/>
        </w:rPr>
        <w:t>(Деяния 10:1). „Командир на центурий (около сто войника). Шест центурии са образува</w:t>
      </w:r>
      <w:r w:rsidRPr="00BC0370">
        <w:rPr>
          <w:rFonts w:eastAsia="Times New Roman"/>
          <w:color w:val="000000"/>
          <w:sz w:val="28"/>
          <w:szCs w:val="28"/>
        </w:rPr>
        <w:softHyphen/>
        <w:t>ли една кохорта, а десет кохорти - един легион. Чинът на Корнилий е бил нещо от рода на сержант-майор или на капитан. Командирите на легионите и кохортите са били предимно аристократи. В продължение на една-две години те служели във войската, за да придобият висш граждански пост. Но по професия центурионите били военни, избирани благодарение на своя талант и характер. Те осигурявали стабилнос</w:t>
      </w:r>
      <w:r w:rsidRPr="00BC0370">
        <w:rPr>
          <w:rFonts w:eastAsia="Times New Roman"/>
          <w:color w:val="000000"/>
          <w:sz w:val="28"/>
          <w:szCs w:val="28"/>
        </w:rPr>
        <w:softHyphen/>
        <w:t>тта, която правела римската армия толкова силна" (Деяния, Променящи живота уроци, с. 106).</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i/>
          <w:iCs/>
          <w:color w:val="000000"/>
          <w:sz w:val="28"/>
          <w:szCs w:val="28"/>
        </w:rPr>
        <w:t xml:space="preserve">Обрязани вярващи </w:t>
      </w:r>
      <w:r w:rsidRPr="00BC0370">
        <w:rPr>
          <w:rFonts w:eastAsia="Times New Roman"/>
          <w:color w:val="000000"/>
          <w:sz w:val="28"/>
          <w:szCs w:val="28"/>
        </w:rPr>
        <w:t>(Деяния 11:2). „Влизането на Петър в дом на езичници бил революционен акт и повдигнал тревога сред „обрязаните". Те били група „еврейски вярващи, особено ревностни по отноше</w:t>
      </w:r>
      <w:r w:rsidRPr="00BC0370">
        <w:rPr>
          <w:rFonts w:eastAsia="Times New Roman"/>
          <w:color w:val="000000"/>
          <w:sz w:val="28"/>
          <w:szCs w:val="28"/>
        </w:rPr>
        <w:softHyphen/>
        <w:t>ние на закона" и педантично точни при всякакви социални взаимоотношения между евреи и езичници" (ф. ф. Брус, „Книгата Деяния, Нов международен коментар на Новия завет", с. 234).</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 xml:space="preserve">Ревността за чистотата на закона несъмнено била една от причините, поради която ерусалимските вярващи високо се ценели от населението. Такава видна личност като Петър да направи нещо толкова безразсъдно би означавало да постави в опасност тяхното положение в обществото. Освен това тяхното наследствено обременено „консервативно естество" (в сравнение с това на </w:t>
      </w:r>
      <w:r w:rsidRPr="00BC0370">
        <w:rPr>
          <w:rFonts w:eastAsia="Times New Roman"/>
          <w:color w:val="000000"/>
          <w:sz w:val="28"/>
          <w:szCs w:val="28"/>
        </w:rPr>
        <w:lastRenderedPageBreak/>
        <w:t>елинистичните християни) би реагирало на подобна „прогресивна" крачка като повод за сприятеляване с езичниците.</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Деяния, 12-та глава</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color w:val="000000"/>
          <w:sz w:val="28"/>
          <w:szCs w:val="28"/>
        </w:rPr>
        <w:t xml:space="preserve">6.  </w:t>
      </w:r>
      <w:r w:rsidRPr="00BC0370">
        <w:rPr>
          <w:rFonts w:eastAsia="Times New Roman"/>
          <w:color w:val="000000"/>
          <w:sz w:val="28"/>
          <w:szCs w:val="28"/>
        </w:rPr>
        <w:t>По какво се различава мотивът на Ирод за преследване на християните от този на Савел (глава 9)? Имаше ли Ирод някаква лична неприязън към християните? Смятате ли, че това го направи повече или по-малко опасен за християните?</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color w:val="000000"/>
          <w:sz w:val="28"/>
          <w:szCs w:val="28"/>
        </w:rPr>
        <w:t xml:space="preserve">7.  </w:t>
      </w:r>
      <w:r w:rsidRPr="00BC0370">
        <w:rPr>
          <w:rFonts w:eastAsia="Times New Roman"/>
          <w:color w:val="000000"/>
          <w:sz w:val="28"/>
          <w:szCs w:val="28"/>
        </w:rPr>
        <w:t>Би ли била по-малко валидна вярата на Петър, ако Бог беше позволил той да бъде екзекутиран?</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color w:val="000000"/>
          <w:sz w:val="28"/>
          <w:szCs w:val="28"/>
        </w:rPr>
        <w:t xml:space="preserve">8.  </w:t>
      </w:r>
      <w:r w:rsidRPr="00BC0370">
        <w:rPr>
          <w:rFonts w:eastAsia="Times New Roman"/>
          <w:color w:val="000000"/>
          <w:sz w:val="28"/>
          <w:szCs w:val="28"/>
        </w:rPr>
        <w:t>Обърнете внимание на 17-ти стих. По-рано, когато беше освободен от затвора, Петър остана в Ерусалим (вж. Деяния, 4-та глава). Защо и този път не постъпи по същия начин? Свързан ли е отговорът ви на въпрос 6 с отговора на този въпрос?</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color w:val="000000"/>
          <w:sz w:val="28"/>
          <w:szCs w:val="28"/>
        </w:rPr>
        <w:t xml:space="preserve">9. </w:t>
      </w:r>
      <w:r w:rsidRPr="00BC0370">
        <w:rPr>
          <w:rFonts w:eastAsia="Times New Roman"/>
          <w:color w:val="000000"/>
          <w:sz w:val="28"/>
          <w:szCs w:val="28"/>
        </w:rPr>
        <w:t>Какво влияние оказало спасението на Петър върху Ирод? Според вас, какво влияние е желаел да му окаже Бог? Бог ли закорави сърцето на Ирод? Как?</w:t>
      </w: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color w:val="000000"/>
          <w:sz w:val="28"/>
          <w:szCs w:val="28"/>
        </w:rPr>
        <w:t xml:space="preserve">10. </w:t>
      </w:r>
      <w:r w:rsidRPr="00BC0370">
        <w:rPr>
          <w:rFonts w:eastAsia="Times New Roman"/>
          <w:color w:val="000000"/>
          <w:sz w:val="28"/>
          <w:szCs w:val="28"/>
        </w:rPr>
        <w:t>Как решаваме дали да направим всичко възможно да избегнем или да сложим началото на кон</w:t>
      </w:r>
      <w:r w:rsidRPr="00BC0370">
        <w:rPr>
          <w:rFonts w:eastAsia="Times New Roman"/>
          <w:color w:val="000000"/>
          <w:sz w:val="28"/>
          <w:szCs w:val="28"/>
        </w:rPr>
        <w:softHyphen/>
        <w:t>фронтацията, независимо от последиците?</w:t>
      </w:r>
    </w:p>
    <w:p w:rsidR="00BC0370" w:rsidRDefault="00BC0370" w:rsidP="00BC0370">
      <w:pPr>
        <w:shd w:val="clear" w:color="auto" w:fill="FFFFFF"/>
        <w:autoSpaceDE w:val="0"/>
        <w:autoSpaceDN w:val="0"/>
        <w:adjustRightInd w:val="0"/>
        <w:ind w:left="-426" w:right="-426"/>
        <w:jc w:val="left"/>
        <w:rPr>
          <w:rFonts w:eastAsia="Times New Roman"/>
          <w:color w:val="000000"/>
          <w:sz w:val="28"/>
          <w:szCs w:val="28"/>
        </w:rPr>
      </w:pPr>
    </w:p>
    <w:p w:rsidR="00BC0370" w:rsidRPr="00BC0370" w:rsidRDefault="00BC0370" w:rsidP="00BC0370">
      <w:pPr>
        <w:shd w:val="clear" w:color="auto" w:fill="FFFFFF"/>
        <w:autoSpaceDE w:val="0"/>
        <w:autoSpaceDN w:val="0"/>
        <w:adjustRightInd w:val="0"/>
        <w:ind w:left="-426" w:right="-426"/>
        <w:jc w:val="left"/>
        <w:rPr>
          <w:sz w:val="28"/>
          <w:szCs w:val="28"/>
        </w:rPr>
      </w:pPr>
      <w:r w:rsidRPr="00BC0370">
        <w:rPr>
          <w:rFonts w:eastAsia="Times New Roman"/>
          <w:color w:val="000000"/>
          <w:sz w:val="28"/>
          <w:szCs w:val="28"/>
        </w:rPr>
        <w:t>Следващата история се намира в Деяния 13-16</w:t>
      </w:r>
    </w:p>
    <w:p w:rsidR="00BC0370" w:rsidRPr="00BC0370" w:rsidRDefault="00BC0370" w:rsidP="00BC0370">
      <w:pPr>
        <w:shd w:val="clear" w:color="auto" w:fill="FFFFFF"/>
        <w:autoSpaceDE w:val="0"/>
        <w:autoSpaceDN w:val="0"/>
        <w:adjustRightInd w:val="0"/>
        <w:ind w:left="-426" w:right="-426"/>
        <w:jc w:val="left"/>
        <w:rPr>
          <w:sz w:val="28"/>
          <w:szCs w:val="28"/>
        </w:rPr>
      </w:pPr>
    </w:p>
    <w:p w:rsidR="00BD3592" w:rsidRPr="00BC0370" w:rsidRDefault="00BD3592" w:rsidP="00BC0370">
      <w:pPr>
        <w:ind w:left="-426" w:right="-426"/>
        <w:rPr>
          <w:sz w:val="28"/>
          <w:szCs w:val="28"/>
        </w:rPr>
      </w:pPr>
    </w:p>
    <w:sectPr w:rsidR="00BD3592" w:rsidRPr="00BC0370" w:rsidSect="00BD3592">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D49" w:rsidRDefault="00B97D49" w:rsidP="00BC0370">
      <w:r>
        <w:separator/>
      </w:r>
    </w:p>
  </w:endnote>
  <w:endnote w:type="continuationSeparator" w:id="1">
    <w:p w:rsidR="00B97D49" w:rsidRDefault="00B97D49" w:rsidP="00BC03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D49" w:rsidRDefault="00B97D49" w:rsidP="00BC0370">
      <w:r>
        <w:separator/>
      </w:r>
    </w:p>
  </w:footnote>
  <w:footnote w:type="continuationSeparator" w:id="1">
    <w:p w:rsidR="00B97D49" w:rsidRDefault="00B97D49" w:rsidP="00BC03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00383"/>
      <w:docPartObj>
        <w:docPartGallery w:val="Page Numbers (Top of Page)"/>
        <w:docPartUnique/>
      </w:docPartObj>
    </w:sdtPr>
    <w:sdtContent>
      <w:p w:rsidR="00BC0370" w:rsidRDefault="00BC0370">
        <w:pPr>
          <w:pStyle w:val="Header"/>
          <w:jc w:val="right"/>
        </w:pPr>
        <w:fldSimple w:instr=" PAGE   \* MERGEFORMAT ">
          <w:r>
            <w:rPr>
              <w:noProof/>
            </w:rPr>
            <w:t>1</w:t>
          </w:r>
        </w:fldSimple>
      </w:p>
    </w:sdtContent>
  </w:sdt>
  <w:p w:rsidR="00BC0370" w:rsidRDefault="00BC037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C0370"/>
    <w:rsid w:val="000A452F"/>
    <w:rsid w:val="00541C3D"/>
    <w:rsid w:val="00990FF8"/>
    <w:rsid w:val="00B97D49"/>
    <w:rsid w:val="00BC0370"/>
    <w:rsid w:val="00BD359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bg-BG"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5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ListParagraph"/>
    <w:link w:val="Style1Char"/>
    <w:qFormat/>
    <w:rsid w:val="00541C3D"/>
    <w:pPr>
      <w:ind w:right="-567"/>
    </w:pPr>
    <w:rPr>
      <w:sz w:val="28"/>
      <w:szCs w:val="28"/>
    </w:rPr>
  </w:style>
  <w:style w:type="paragraph" w:styleId="ListParagraph">
    <w:name w:val="List Paragraph"/>
    <w:basedOn w:val="Normal"/>
    <w:uiPriority w:val="34"/>
    <w:qFormat/>
    <w:rsid w:val="00541C3D"/>
    <w:pPr>
      <w:ind w:left="720"/>
      <w:contextualSpacing/>
    </w:pPr>
  </w:style>
  <w:style w:type="character" w:customStyle="1" w:styleId="Style1Char">
    <w:name w:val="Style1 Char"/>
    <w:basedOn w:val="DefaultParagraphFont"/>
    <w:link w:val="Style1"/>
    <w:rsid w:val="00541C3D"/>
    <w:rPr>
      <w:sz w:val="28"/>
      <w:szCs w:val="28"/>
    </w:rPr>
  </w:style>
  <w:style w:type="paragraph" w:styleId="Title">
    <w:name w:val="Title"/>
    <w:basedOn w:val="Normal"/>
    <w:next w:val="Normal"/>
    <w:link w:val="TitleChar"/>
    <w:uiPriority w:val="10"/>
    <w:qFormat/>
    <w:rsid w:val="00BC037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C0370"/>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C0370"/>
    <w:pPr>
      <w:tabs>
        <w:tab w:val="center" w:pos="4536"/>
        <w:tab w:val="right" w:pos="9072"/>
      </w:tabs>
    </w:pPr>
  </w:style>
  <w:style w:type="character" w:customStyle="1" w:styleId="HeaderChar">
    <w:name w:val="Header Char"/>
    <w:basedOn w:val="DefaultParagraphFont"/>
    <w:link w:val="Header"/>
    <w:uiPriority w:val="99"/>
    <w:rsid w:val="00BC0370"/>
  </w:style>
  <w:style w:type="paragraph" w:styleId="Footer">
    <w:name w:val="footer"/>
    <w:basedOn w:val="Normal"/>
    <w:link w:val="FooterChar"/>
    <w:uiPriority w:val="99"/>
    <w:semiHidden/>
    <w:unhideWhenUsed/>
    <w:rsid w:val="00BC0370"/>
    <w:pPr>
      <w:tabs>
        <w:tab w:val="center" w:pos="4536"/>
        <w:tab w:val="right" w:pos="9072"/>
      </w:tabs>
    </w:pPr>
  </w:style>
  <w:style w:type="character" w:customStyle="1" w:styleId="FooterChar">
    <w:name w:val="Footer Char"/>
    <w:basedOn w:val="DefaultParagraphFont"/>
    <w:link w:val="Footer"/>
    <w:uiPriority w:val="99"/>
    <w:semiHidden/>
    <w:rsid w:val="00BC03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2761</Characters>
  <Application>Microsoft Office Word</Application>
  <DocSecurity>0</DocSecurity>
  <Lines>23</Lines>
  <Paragraphs>6</Paragraphs>
  <ScaleCrop>false</ScaleCrop>
  <Company>Deftones</Company>
  <LinksUpToDate>false</LinksUpToDate>
  <CharactersWithSpaces>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Trifon Trifonov</dc:creator>
  <cp:lastModifiedBy>Trifon Trifonov</cp:lastModifiedBy>
  <cp:revision>1</cp:revision>
  <dcterms:created xsi:type="dcterms:W3CDTF">2009-04-26T08:01:00Z</dcterms:created>
  <dcterms:modified xsi:type="dcterms:W3CDTF">2009-04-26T08:03:00Z</dcterms:modified>
</cp:coreProperties>
</file>